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both"/>
        <w:rPr>
          <w:rFonts w:ascii="方正小标宋简体" w:eastAsia="方正小标宋简体" w:hAnsiTheme="majorEastAsia"/>
          <w:sz w:val="28"/>
          <w:szCs w:val="28"/>
        </w:rPr>
      </w:pPr>
      <w:bookmarkStart w:id="1" w:name="_GoBack"/>
      <w:bookmarkEnd w:id="1"/>
      <w:r>
        <w:rPr>
          <w:sz w:val="28"/>
        </w:rPr>
        <mc:AlternateContent>
          <mc:Choice Requires="wps">
            <w:drawing>
              <wp:anchor distT="0" distB="0" distL="114300" distR="114300" simplePos="0" relativeHeight="251659264" behindDoc="0" locked="0" layoutInCell="1" allowOverlap="1">
                <wp:simplePos x="0" y="0"/>
                <wp:positionH relativeFrom="column">
                  <wp:posOffset>69215</wp:posOffset>
                </wp:positionH>
                <wp:positionV relativeFrom="paragraph">
                  <wp:posOffset>205105</wp:posOffset>
                </wp:positionV>
                <wp:extent cx="797560" cy="460375"/>
                <wp:effectExtent l="4445" t="5080" r="17145" b="10795"/>
                <wp:wrapNone/>
                <wp:docPr id="2" name="文本框 2"/>
                <wp:cNvGraphicFramePr/>
                <a:graphic xmlns:a="http://schemas.openxmlformats.org/drawingml/2006/main">
                  <a:graphicData uri="http://schemas.microsoft.com/office/word/2010/wordprocessingShape">
                    <wps:wsp>
                      <wps:cNvSpPr txBox="1"/>
                      <wps:spPr>
                        <a:xfrm>
                          <a:off x="944245" y="781050"/>
                          <a:ext cx="797560" cy="4603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5pt;margin-top:16.15pt;height:36.25pt;width:62.8pt;z-index:251659264;mso-width-relative:page;mso-height-relative:page;" fillcolor="#FFFFFF [3201]" filled="t" stroked="t" coordsize="21600,21600" o:gfxdata="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zLq&#10;F9MAAAAJAQAADwAAAAAAAAABACAAAAAiAAAAZHJzL2Rvd25yZXYueG1sUEsBAhQAFAAAAAgAh07i&#10;QAGNu+FgAgAAwAQAAA4AAAAAAAAAAQAgAAAAIgEAAGRycy9lMm9Eb2MueG1sUEsFBgAAAAAGAAYA&#10;WQEAAPQFAAAAAA==&#10;">
                <v:fill on="t" focussize="0,0"/>
                <v:stroke weight="0.5pt" color="#000000 [3204]" joinstyle="round"/>
                <v:imagedata o:title=""/>
                <o:lock v:ext="edit" aspectratio="f"/>
                <v:textbox>
                  <w:txbxContent>
                    <w:p w14:paraId="0FD62D86">
                      <w:pPr>
                        <w:spacing w:line="360" w:lineRule="auto"/>
                        <w:jc w:val="cente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正本</w:t>
                      </w:r>
                    </w:p>
                  </w:txbxContent>
                </v:textbox>
              </v:shape>
            </w:pict>
          </mc:Fallback>
        </mc:AlternateContent>
      </w:r>
    </w:p>
    <w:p w14:paraId="7915A500">
      <w:pPr>
        <w:spacing w:line="500" w:lineRule="exact"/>
        <w:jc w:val="center"/>
        <w:rPr>
          <w:rFonts w:ascii="方正小标宋简体" w:eastAsia="方正小标宋简体" w:hAnsiTheme="majorEastAsia"/>
          <w:sz w:val="28"/>
          <w:szCs w:val="28"/>
        </w:rPr>
      </w:pPr>
    </w:p>
    <w:p w14:paraId="1FB0EE5F">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7B1A4D9F">
      <w:pPr>
        <w:spacing w:line="500" w:lineRule="exact"/>
        <w:jc w:val="center"/>
        <w:rPr>
          <w:rFonts w:ascii="方正小标宋简体" w:eastAsia="方正小标宋简体" w:hAnsiTheme="majorEastAsia"/>
          <w:sz w:val="36"/>
          <w:szCs w:val="36"/>
        </w:rPr>
      </w:pPr>
      <w:r>
        <w:rPr>
          <w:rFonts w:hint="eastAsia" w:ascii="宋体" w:hAnsi="宋体" w:eastAsia="宋体" w:cs="宋体"/>
          <w:b/>
          <w:bCs/>
          <w:sz w:val="44"/>
          <w:szCs w:val="44"/>
          <w:lang w:val="en-US" w:eastAsia="zh-CN"/>
        </w:rPr>
        <w:t>孝昌县城北何家湾老旧小区改造项目工程总承包（EPC）劳务分包项目招标代理机构比选</w:t>
      </w: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hint="eastAsia" w:ascii="宋体" w:hAnsi="宋体" w:eastAsia="宋体" w:cs="宋体"/>
          <w:b/>
          <w:bCs/>
          <w:sz w:val="84"/>
          <w:szCs w:val="84"/>
        </w:rPr>
      </w:pPr>
      <w:r>
        <w:rPr>
          <w:rFonts w:hint="eastAsia" w:ascii="宋体" w:hAnsi="宋体" w:eastAsia="宋体" w:cs="宋体"/>
          <w:b/>
          <w:bCs/>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695209A0">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供应商</w:t>
      </w:r>
      <w:r>
        <w:rPr>
          <w:rFonts w:hint="eastAsia" w:ascii="宋体" w:hAnsi="宋体" w:eastAsia="宋体" w:cs="宋体"/>
          <w:b/>
          <w:bCs/>
          <w:sz w:val="30"/>
          <w:szCs w:val="30"/>
        </w:rPr>
        <w:t>名称：（********有限公司）</w:t>
      </w:r>
    </w:p>
    <w:p w14:paraId="7BFAB5F9">
      <w:pPr>
        <w:spacing w:line="480" w:lineRule="auto"/>
        <w:jc w:val="center"/>
        <w:rPr>
          <w:rFonts w:hint="eastAsia" w:ascii="宋体" w:hAnsi="宋体" w:eastAsia="宋体" w:cs="宋体"/>
          <w:b/>
          <w:bCs/>
          <w:color w:val="0000FF"/>
          <w:sz w:val="30"/>
          <w:szCs w:val="30"/>
          <w:highlight w:val="none"/>
        </w:rPr>
      </w:pPr>
      <w:r>
        <w:rPr>
          <w:rFonts w:hint="eastAsia" w:ascii="宋体" w:hAnsi="宋体" w:eastAsia="宋体" w:cs="宋体"/>
          <w:b/>
          <w:bCs/>
          <w:sz w:val="30"/>
          <w:szCs w:val="30"/>
          <w:highlight w:val="none"/>
          <w:lang w:val="en-US" w:eastAsia="zh-CN"/>
        </w:rPr>
        <w:t>2026</w:t>
      </w:r>
      <w:r>
        <w:rPr>
          <w:rFonts w:hint="eastAsia" w:ascii="宋体" w:hAnsi="宋体" w:eastAsia="宋体" w:cs="宋体"/>
          <w:b/>
          <w:bCs/>
          <w:color w:val="auto"/>
          <w:sz w:val="30"/>
          <w:szCs w:val="30"/>
          <w:highlight w:val="none"/>
        </w:rPr>
        <w:t>年</w:t>
      </w:r>
      <w:r>
        <w:rPr>
          <w:rFonts w:hint="eastAsia" w:ascii="宋体" w:hAnsi="宋体" w:eastAsia="宋体" w:cs="宋体"/>
          <w:b/>
          <w:bCs/>
          <w:color w:val="auto"/>
          <w:sz w:val="30"/>
          <w:szCs w:val="30"/>
          <w:highlight w:val="none"/>
          <w:lang w:val="en-US" w:eastAsia="zh-CN"/>
        </w:rPr>
        <w:t>8</w:t>
      </w:r>
      <w:r>
        <w:rPr>
          <w:rFonts w:hint="eastAsia" w:ascii="宋体" w:hAnsi="宋体" w:eastAsia="宋体" w:cs="宋体"/>
          <w:b/>
          <w:bCs/>
          <w:color w:val="auto"/>
          <w:sz w:val="30"/>
          <w:szCs w:val="30"/>
          <w:highlight w:val="none"/>
        </w:rPr>
        <w:t>月</w:t>
      </w:r>
      <w:r>
        <w:rPr>
          <w:rFonts w:hint="eastAsia" w:ascii="宋体" w:hAnsi="宋体" w:eastAsia="宋体" w:cs="宋体"/>
          <w:b/>
          <w:bCs/>
          <w:color w:val="auto"/>
          <w:sz w:val="30"/>
          <w:szCs w:val="30"/>
          <w:highlight w:val="none"/>
          <w:lang w:val="en-US" w:eastAsia="zh-CN"/>
        </w:rPr>
        <w:t>17</w:t>
      </w:r>
      <w:r>
        <w:rPr>
          <w:rFonts w:hint="eastAsia" w:ascii="宋体" w:hAnsi="宋体" w:eastAsia="宋体" w:cs="宋体"/>
          <w:b/>
          <w:bCs/>
          <w:color w:val="auto"/>
          <w:sz w:val="30"/>
          <w:szCs w:val="30"/>
          <w:highlight w:val="none"/>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供应商报价文件</w:t>
      </w:r>
      <w:r>
        <w:rPr>
          <w:rFonts w:hint="eastAsia" w:ascii="宋体" w:hAnsi="宋体" w:eastAsia="宋体" w:cs="宋体"/>
          <w:b/>
          <w:bCs/>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4"/>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4"/>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4"/>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4"/>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4"/>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为湖北孝达交通投资有限公司招标代理入库</w:t>
      </w:r>
      <w:r>
        <w:rPr>
          <w:rFonts w:hint="eastAsia"/>
          <w:sz w:val="24"/>
          <w:szCs w:val="24"/>
        </w:rPr>
        <w:t>供应商(提供网页截图)</w:t>
      </w:r>
    </w:p>
    <w:p w14:paraId="50B9B477">
      <w:pPr>
        <w:pStyle w:val="14"/>
        <w:numPr>
          <w:ilvl w:val="0"/>
          <w:numId w:val="2"/>
        </w:numPr>
        <w:spacing w:line="500" w:lineRule="exact"/>
        <w:rPr>
          <w:rFonts w:hint="eastAsia"/>
          <w:sz w:val="24"/>
          <w:szCs w:val="24"/>
        </w:rPr>
      </w:pPr>
      <w:r>
        <w:rPr>
          <w:rFonts w:hint="eastAsia"/>
          <w:sz w:val="24"/>
          <w:szCs w:val="24"/>
          <w:lang w:val="en-US" w:eastAsia="zh-CN"/>
        </w:rPr>
        <w:t>招标代理服务报价表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8"/>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6"/>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r>
        <w:rPr>
          <w:rFonts w:hint="eastAsia" w:ascii="宋体" w:hAnsi="宋体" w:eastAsia="宋体" w:cs="宋体"/>
          <w:spacing w:val="10"/>
          <w:sz w:val="28"/>
          <w:szCs w:val="28"/>
          <w:u w:val="single"/>
          <w:lang w:val="en-US" w:eastAsia="zh-CN"/>
        </w:rPr>
        <w:t>湖北途舜路桥</w:t>
      </w:r>
      <w:r>
        <w:rPr>
          <w:rFonts w:hint="eastAsia" w:ascii="宋体" w:hAnsi="宋体" w:eastAsia="宋体" w:cs="宋体"/>
          <w:spacing w:val="10"/>
          <w:sz w:val="28"/>
          <w:szCs w:val="28"/>
          <w:u w:val="single" w:color="auto"/>
          <w:lang w:val="en-US" w:eastAsia="zh-CN"/>
        </w:rPr>
        <w:t>工程有限公司</w:t>
      </w:r>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我方承诺完全满足竞争性</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为湖北孝达交通投资有限公司招标代理入库供应商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招标</w:t>
      </w:r>
      <w:bookmarkEnd w:id="0"/>
      <w:r>
        <w:rPr>
          <w:rFonts w:hint="eastAsia" w:ascii="Times New Roman" w:hAnsi="Times New Roman" w:eastAsia="宋体" w:cs="Times New Roman"/>
          <w:b/>
          <w:bCs/>
          <w:kern w:val="2"/>
          <w:sz w:val="32"/>
          <w:szCs w:val="20"/>
          <w:lang w:val="en-US" w:eastAsia="zh-CN" w:bidi="ar-SA"/>
        </w:rPr>
        <w:t>代理服务报价表</w:t>
      </w:r>
    </w:p>
    <w:p w14:paraId="47C52F77">
      <w:pPr>
        <w:pStyle w:val="4"/>
        <w:rPr>
          <w:rFonts w:hint="eastAsia" w:ascii="宋体" w:hAnsi="宋体" w:eastAsia="宋体" w:cs="宋体"/>
          <w:sz w:val="24"/>
          <w:szCs w:val="24"/>
        </w:rPr>
      </w:pPr>
    </w:p>
    <w:tbl>
      <w:tblPr>
        <w:tblStyle w:val="8"/>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5"/>
        <w:gridCol w:w="6245"/>
      </w:tblGrid>
      <w:tr w14:paraId="2033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2755" w:type="dxa"/>
            <w:noWrap w:val="0"/>
            <w:vAlign w:val="center"/>
          </w:tcPr>
          <w:p w14:paraId="04AF6F95">
            <w:pPr>
              <w:keepNext w:val="0"/>
              <w:keepLines w:val="0"/>
              <w:pageBreakBefore w:val="0"/>
              <w:widowControl w:val="0"/>
              <w:kinsoku/>
              <w:wordWrap/>
              <w:overflowPunct/>
              <w:topLinePunct w:val="0"/>
              <w:autoSpaceDE/>
              <w:autoSpaceDN/>
              <w:bidi w:val="0"/>
              <w:adjustRightInd/>
              <w:snapToGrid/>
              <w:spacing w:line="440" w:lineRule="exact"/>
              <w:ind w:firstLine="240" w:firstLineChars="100"/>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lang w:eastAsia="zh-CN"/>
              </w:rPr>
              <w:t>项目名称</w:t>
            </w:r>
          </w:p>
        </w:tc>
        <w:tc>
          <w:tcPr>
            <w:tcW w:w="6245" w:type="dxa"/>
            <w:noWrap w:val="0"/>
            <w:vAlign w:val="center"/>
          </w:tcPr>
          <w:p w14:paraId="5631A03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8"/>
                <w:szCs w:val="28"/>
                <w:lang w:val="en-US" w:eastAsia="zh-CN"/>
              </w:rPr>
              <w:t>孝昌县城北何家湾老旧小区改造项目工程总承包（EPC）劳务分包项目招标代理机构比选</w:t>
            </w:r>
          </w:p>
        </w:tc>
      </w:tr>
      <w:tr w14:paraId="33BF8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2755" w:type="dxa"/>
            <w:noWrap w:val="0"/>
            <w:vAlign w:val="center"/>
          </w:tcPr>
          <w:p w14:paraId="60953C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val="en-US" w:eastAsia="zh-CN"/>
              </w:rPr>
              <w:t>报价</w:t>
            </w:r>
            <w:r>
              <w:rPr>
                <w:rFonts w:hint="eastAsia" w:ascii="宋体" w:hAnsi="宋体" w:eastAsia="宋体" w:cs="宋体"/>
                <w:position w:val="6"/>
                <w:sz w:val="24"/>
                <w:szCs w:val="24"/>
              </w:rPr>
              <w:t>单位名称</w:t>
            </w:r>
          </w:p>
        </w:tc>
        <w:tc>
          <w:tcPr>
            <w:tcW w:w="6245" w:type="dxa"/>
            <w:noWrap w:val="0"/>
            <w:vAlign w:val="center"/>
          </w:tcPr>
          <w:p w14:paraId="7DD746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p>
        </w:tc>
      </w:tr>
      <w:tr w14:paraId="19E9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3" w:hRule="atLeast"/>
          <w:jc w:val="center"/>
        </w:trPr>
        <w:tc>
          <w:tcPr>
            <w:tcW w:w="2755" w:type="dxa"/>
            <w:noWrap w:val="0"/>
            <w:vAlign w:val="center"/>
          </w:tcPr>
          <w:p w14:paraId="72A50A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lang w:eastAsia="zh-CN"/>
              </w:rPr>
            </w:pPr>
            <w:r>
              <w:rPr>
                <w:rFonts w:hint="eastAsia" w:ascii="宋体" w:hAnsi="宋体" w:eastAsia="宋体" w:cs="宋体"/>
                <w:position w:val="6"/>
                <w:sz w:val="24"/>
                <w:szCs w:val="24"/>
                <w:lang w:eastAsia="zh-CN"/>
              </w:rPr>
              <w:t>服务内容</w:t>
            </w:r>
          </w:p>
        </w:tc>
        <w:tc>
          <w:tcPr>
            <w:tcW w:w="6245" w:type="dxa"/>
            <w:noWrap w:val="0"/>
            <w:vAlign w:val="center"/>
          </w:tcPr>
          <w:p w14:paraId="353BC1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4"/>
                <w:szCs w:val="24"/>
                <w:lang w:val="en-US" w:eastAsia="zh-CN"/>
              </w:rPr>
            </w:pPr>
            <w:r>
              <w:rPr>
                <w:rFonts w:hint="eastAsia" w:ascii="宋体" w:hAnsi="宋体" w:eastAsia="宋体" w:cs="宋体"/>
                <w:position w:val="6"/>
                <w:sz w:val="28"/>
                <w:szCs w:val="28"/>
                <w:lang w:val="en-US" w:eastAsia="zh-CN"/>
              </w:rPr>
              <w:t>为“孝昌县城北何家湾老旧小区改造项目工程总承包（EPC）劳务分包项目”拟写招标方案；编制资格预审文件（如有）、招标文件；组织审查投标人资格；代拟和发布公告；接受投标报名；组织投标人踏勘现场和答疑（如有）；协助依法组建评审委员会；组织开标、评标等；代拟招投标情况书面报告（如有）；组织处理质疑、投诉的回复等；办理中标公示；协助签订合同；与招标人约定的其他事项。</w:t>
            </w:r>
          </w:p>
        </w:tc>
      </w:tr>
      <w:tr w14:paraId="583A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2755" w:type="dxa"/>
            <w:noWrap w:val="0"/>
            <w:vAlign w:val="center"/>
          </w:tcPr>
          <w:p w14:paraId="4355AA0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报价</w:t>
            </w:r>
          </w:p>
        </w:tc>
        <w:tc>
          <w:tcPr>
            <w:tcW w:w="6245" w:type="dxa"/>
            <w:noWrap w:val="0"/>
            <w:vAlign w:val="center"/>
          </w:tcPr>
          <w:p w14:paraId="4C76D37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color w:val="auto"/>
                <w:position w:val="6"/>
                <w:sz w:val="24"/>
                <w:szCs w:val="24"/>
                <w:lang w:val="en-US" w:eastAsia="zh-CN"/>
              </w:rPr>
              <w:t>按国家发展计划委员会计价格【2011】534号文及原国家计委《招标代理服务收费管理暂行办法》（【2002】1980号）规定标准的</w:t>
            </w:r>
            <w:r>
              <w:rPr>
                <w:rFonts w:hint="eastAsia" w:ascii="宋体" w:hAnsi="宋体" w:eastAsia="宋体" w:cs="宋体"/>
                <w:color w:val="auto"/>
                <w:position w:val="6"/>
                <w:sz w:val="24"/>
                <w:szCs w:val="24"/>
                <w:u w:val="single"/>
                <w:lang w:val="en-US" w:eastAsia="zh-CN"/>
              </w:rPr>
              <w:t xml:space="preserve">   </w:t>
            </w:r>
            <w:r>
              <w:rPr>
                <w:rFonts w:hint="eastAsia" w:ascii="宋体" w:hAnsi="宋体" w:eastAsia="宋体" w:cs="宋体"/>
                <w:color w:val="auto"/>
                <w:position w:val="6"/>
                <w:sz w:val="24"/>
                <w:szCs w:val="24"/>
                <w:lang w:val="en-US" w:eastAsia="zh-CN"/>
              </w:rPr>
              <w:t>%向招标代理机构支付代理服务费。</w:t>
            </w:r>
          </w:p>
        </w:tc>
      </w:tr>
      <w:tr w14:paraId="15D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2755" w:type="dxa"/>
            <w:noWrap w:val="0"/>
            <w:vAlign w:val="center"/>
          </w:tcPr>
          <w:p w14:paraId="42507D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position w:val="6"/>
                <w:sz w:val="24"/>
                <w:szCs w:val="24"/>
                <w:lang w:eastAsia="zh-CN"/>
              </w:rPr>
            </w:pPr>
            <w:r>
              <w:rPr>
                <w:rFonts w:hint="eastAsia" w:ascii="宋体" w:hAnsi="宋体" w:eastAsia="宋体" w:cs="宋体"/>
                <w:color w:val="auto"/>
                <w:position w:val="6"/>
                <w:sz w:val="24"/>
                <w:szCs w:val="24"/>
                <w:lang w:val="en-US" w:eastAsia="zh-CN"/>
              </w:rPr>
              <w:t>合同履行期限</w:t>
            </w:r>
          </w:p>
        </w:tc>
        <w:tc>
          <w:tcPr>
            <w:tcW w:w="6245" w:type="dxa"/>
            <w:noWrap w:val="0"/>
            <w:vAlign w:val="center"/>
          </w:tcPr>
          <w:p w14:paraId="0FDCF6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签订合同之日起至项目招标结束移交相关资料为止；</w:t>
            </w:r>
          </w:p>
        </w:tc>
      </w:tr>
      <w:tr w14:paraId="2A89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755" w:type="dxa"/>
            <w:noWrap w:val="0"/>
            <w:vAlign w:val="center"/>
          </w:tcPr>
          <w:p w14:paraId="12A3572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position w:val="6"/>
                <w:sz w:val="24"/>
                <w:szCs w:val="24"/>
              </w:rPr>
            </w:pPr>
            <w:r>
              <w:rPr>
                <w:rFonts w:hint="eastAsia" w:ascii="宋体" w:hAnsi="宋体" w:eastAsia="宋体" w:cs="宋体"/>
                <w:position w:val="6"/>
                <w:sz w:val="24"/>
                <w:szCs w:val="24"/>
              </w:rPr>
              <w:t>备注</w:t>
            </w:r>
          </w:p>
        </w:tc>
        <w:tc>
          <w:tcPr>
            <w:tcW w:w="6245" w:type="dxa"/>
            <w:noWrap w:val="0"/>
            <w:vAlign w:val="top"/>
          </w:tcPr>
          <w:p w14:paraId="0834996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position w:val="6"/>
                <w:sz w:val="28"/>
                <w:szCs w:val="28"/>
                <w:lang w:val="en-US" w:eastAsia="zh-CN"/>
              </w:rPr>
            </w:pPr>
            <w:r>
              <w:rPr>
                <w:rFonts w:hint="eastAsia" w:ascii="宋体" w:hAnsi="宋体" w:eastAsia="宋体" w:cs="宋体"/>
                <w:position w:val="6"/>
                <w:sz w:val="28"/>
                <w:szCs w:val="28"/>
                <w:lang w:val="en-US" w:eastAsia="zh-CN"/>
              </w:rPr>
              <w:t>不向招标人收取任何费用</w:t>
            </w:r>
          </w:p>
        </w:tc>
      </w:tr>
    </w:tbl>
    <w:p w14:paraId="7077ACFE">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日期：</w:t>
      </w:r>
      <w:r>
        <w:rPr>
          <w:rFonts w:hint="eastAsia" w:ascii="宋体" w:hAnsi="宋体" w:eastAsia="宋体" w:cs="宋体"/>
          <w:i w:val="0"/>
          <w:iCs w:val="0"/>
          <w:color w:val="auto"/>
          <w:sz w:val="24"/>
          <w:szCs w:val="24"/>
          <w:lang w:val="en-US" w:eastAsia="zh-CN"/>
        </w:rPr>
        <w:t xml:space="preserve">        年     月     日</w:t>
      </w:r>
    </w:p>
    <w:p w14:paraId="26BF6EBF">
      <w:pPr>
        <w:rPr>
          <w:sz w:val="24"/>
          <w:szCs w:val="24"/>
        </w:rPr>
      </w:pPr>
      <w:r>
        <w:rPr>
          <w:sz w:val="24"/>
          <w:szCs w:val="24"/>
        </w:rPr>
        <w:br w:type="page"/>
      </w:r>
    </w:p>
    <w:p w14:paraId="2E7D9D26">
      <w:pPr>
        <w:pStyle w:val="7"/>
        <w:keepNext w:val="0"/>
        <w:keepLines w:val="0"/>
        <w:widowControl/>
        <w:suppressLineNumbers w:val="0"/>
        <w:ind w:left="0" w:leftChars="0" w:right="0" w:rightChars="0" w:firstLine="0" w:firstLineChars="0"/>
        <w:jc w:val="left"/>
        <w:outlineLvl w:val="0"/>
        <w:rPr>
          <w:rStyle w:val="17"/>
          <w:rFonts w:hint="eastAsia" w:ascii="宋体" w:hAnsi="宋体" w:eastAsia="宋体" w:cs="宋体"/>
          <w:sz w:val="24"/>
          <w:szCs w:val="24"/>
          <w:lang w:val="en-US" w:eastAsia="zh-CN"/>
        </w:rPr>
      </w:pPr>
      <w:r>
        <w:rPr>
          <w:rStyle w:val="17"/>
          <w:rFonts w:hint="eastAsia" w:ascii="宋体" w:hAnsi="宋体" w:eastAsia="宋体" w:cs="宋体"/>
          <w:sz w:val="24"/>
          <w:szCs w:val="24"/>
          <w:lang w:val="en-US" w:eastAsia="zh-CN"/>
        </w:rPr>
        <w:t>附表</w:t>
      </w:r>
    </w:p>
    <w:p w14:paraId="7D01BF7D">
      <w:pPr>
        <w:pStyle w:val="7"/>
        <w:keepNext w:val="0"/>
        <w:keepLines w:val="0"/>
        <w:widowControl/>
        <w:suppressLineNumbers w:val="0"/>
        <w:ind w:left="0" w:firstLine="0"/>
        <w:jc w:val="center"/>
        <w:rPr>
          <w:rStyle w:val="17"/>
          <w:rFonts w:hint="eastAsia" w:ascii="宋体" w:hAnsi="宋体" w:eastAsia="宋体" w:cs="宋体"/>
          <w:sz w:val="24"/>
          <w:szCs w:val="24"/>
        </w:rPr>
      </w:pPr>
      <w:r>
        <w:rPr>
          <w:rStyle w:val="17"/>
          <w:rFonts w:hint="eastAsia" w:ascii="宋体" w:hAnsi="宋体" w:eastAsia="宋体" w:cs="宋体"/>
          <w:sz w:val="24"/>
          <w:szCs w:val="24"/>
        </w:rPr>
        <w:t>招标代理服务收费标准( 费率)</w:t>
      </w:r>
    </w:p>
    <w:tbl>
      <w:tblPr>
        <w:tblStyle w:val="8"/>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41EFC2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7570717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服务类型  / 中标金额（万元）</w:t>
            </w:r>
          </w:p>
        </w:tc>
        <w:tc>
          <w:tcPr>
            <w:tcW w:w="1913" w:type="dxa"/>
            <w:noWrap w:val="0"/>
            <w:vAlign w:val="center"/>
          </w:tcPr>
          <w:p w14:paraId="33F53CFA">
            <w:pPr>
              <w:pStyle w:val="7"/>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b/>
                <w:bCs/>
                <w:i w:val="0"/>
                <w:iCs w:val="0"/>
                <w:caps w:val="0"/>
                <w:color w:val="000000"/>
                <w:spacing w:val="0"/>
                <w:sz w:val="18"/>
                <w:szCs w:val="18"/>
              </w:rPr>
              <w:t>货物招标</w:t>
            </w:r>
          </w:p>
        </w:tc>
        <w:tc>
          <w:tcPr>
            <w:tcW w:w="1599" w:type="dxa"/>
            <w:noWrap w:val="0"/>
            <w:vAlign w:val="center"/>
          </w:tcPr>
          <w:p w14:paraId="64D4FCA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服务招标</w:t>
            </w:r>
          </w:p>
        </w:tc>
        <w:tc>
          <w:tcPr>
            <w:tcW w:w="1258" w:type="dxa"/>
            <w:noWrap w:val="0"/>
            <w:vAlign w:val="center"/>
          </w:tcPr>
          <w:p w14:paraId="3273D90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b/>
                <w:bCs/>
                <w:i w:val="0"/>
                <w:iCs w:val="0"/>
                <w:caps w:val="0"/>
                <w:color w:val="000000"/>
                <w:spacing w:val="0"/>
                <w:kern w:val="0"/>
                <w:sz w:val="18"/>
                <w:szCs w:val="18"/>
                <w:lang w:val="en-US" w:eastAsia="zh-CN" w:bidi="ar"/>
              </w:rPr>
              <w:t>工程招标</w:t>
            </w:r>
          </w:p>
        </w:tc>
      </w:tr>
      <w:tr w14:paraId="243298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B4216E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100以下</w:t>
            </w:r>
          </w:p>
        </w:tc>
        <w:tc>
          <w:tcPr>
            <w:tcW w:w="1913" w:type="dxa"/>
            <w:noWrap w:val="0"/>
            <w:vAlign w:val="center"/>
          </w:tcPr>
          <w:p w14:paraId="267C8E9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599" w:type="dxa"/>
            <w:noWrap w:val="0"/>
            <w:vAlign w:val="center"/>
          </w:tcPr>
          <w:p w14:paraId="3B45C02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1.5％</w:t>
            </w:r>
          </w:p>
        </w:tc>
        <w:tc>
          <w:tcPr>
            <w:tcW w:w="1258" w:type="dxa"/>
            <w:noWrap w:val="0"/>
            <w:vAlign w:val="center"/>
          </w:tcPr>
          <w:p w14:paraId="174719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w:t>
            </w:r>
          </w:p>
        </w:tc>
      </w:tr>
      <w:tr w14:paraId="57CB01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FF0F65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100—500</w:t>
            </w:r>
          </w:p>
        </w:tc>
        <w:tc>
          <w:tcPr>
            <w:tcW w:w="1913" w:type="dxa"/>
            <w:noWrap w:val="0"/>
            <w:vAlign w:val="center"/>
          </w:tcPr>
          <w:p w14:paraId="414020A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1.1％</w:t>
            </w:r>
          </w:p>
        </w:tc>
        <w:tc>
          <w:tcPr>
            <w:tcW w:w="1599" w:type="dxa"/>
            <w:noWrap w:val="0"/>
            <w:vAlign w:val="center"/>
          </w:tcPr>
          <w:p w14:paraId="0820742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258" w:type="dxa"/>
            <w:noWrap w:val="0"/>
            <w:vAlign w:val="center"/>
          </w:tcPr>
          <w:p w14:paraId="38D9AD0B">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0.7％</w:t>
            </w:r>
          </w:p>
        </w:tc>
      </w:tr>
      <w:tr w14:paraId="7697BA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1749A9D">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500—1000</w:t>
            </w:r>
          </w:p>
        </w:tc>
        <w:tc>
          <w:tcPr>
            <w:tcW w:w="1913" w:type="dxa"/>
            <w:noWrap w:val="0"/>
            <w:vAlign w:val="center"/>
          </w:tcPr>
          <w:p w14:paraId="3683188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0.8％</w:t>
            </w:r>
          </w:p>
        </w:tc>
        <w:tc>
          <w:tcPr>
            <w:tcW w:w="1599" w:type="dxa"/>
            <w:noWrap w:val="0"/>
            <w:vAlign w:val="center"/>
          </w:tcPr>
          <w:p w14:paraId="4FB01C8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0.45％</w:t>
            </w:r>
          </w:p>
        </w:tc>
        <w:tc>
          <w:tcPr>
            <w:tcW w:w="1258" w:type="dxa"/>
            <w:noWrap w:val="0"/>
            <w:vAlign w:val="center"/>
          </w:tcPr>
          <w:p w14:paraId="7CC2751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0.55％</w:t>
            </w:r>
          </w:p>
        </w:tc>
      </w:tr>
      <w:tr w14:paraId="40C54B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0BAC2149">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1000—5000</w:t>
            </w:r>
          </w:p>
        </w:tc>
        <w:tc>
          <w:tcPr>
            <w:tcW w:w="1913" w:type="dxa"/>
            <w:noWrap w:val="0"/>
            <w:vAlign w:val="center"/>
          </w:tcPr>
          <w:p w14:paraId="56A5A386">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0.5％</w:t>
            </w:r>
          </w:p>
        </w:tc>
        <w:tc>
          <w:tcPr>
            <w:tcW w:w="1599" w:type="dxa"/>
            <w:noWrap w:val="0"/>
            <w:vAlign w:val="center"/>
          </w:tcPr>
          <w:p w14:paraId="0D5DBE37">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258" w:type="dxa"/>
            <w:noWrap w:val="0"/>
            <w:vAlign w:val="center"/>
          </w:tcPr>
          <w:p w14:paraId="4AC27954">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0.35％</w:t>
            </w:r>
          </w:p>
        </w:tc>
      </w:tr>
      <w:tr w14:paraId="39BE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AF5CB6E">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5000—10000</w:t>
            </w:r>
          </w:p>
        </w:tc>
        <w:tc>
          <w:tcPr>
            <w:tcW w:w="1913" w:type="dxa"/>
            <w:noWrap w:val="0"/>
            <w:vAlign w:val="center"/>
          </w:tcPr>
          <w:p w14:paraId="05DE80E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0.25％</w:t>
            </w:r>
          </w:p>
        </w:tc>
        <w:tc>
          <w:tcPr>
            <w:tcW w:w="1599" w:type="dxa"/>
            <w:noWrap w:val="0"/>
            <w:vAlign w:val="center"/>
          </w:tcPr>
          <w:p w14:paraId="09E54921">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0.1％</w:t>
            </w:r>
          </w:p>
        </w:tc>
        <w:tc>
          <w:tcPr>
            <w:tcW w:w="1258" w:type="dxa"/>
            <w:noWrap w:val="0"/>
            <w:vAlign w:val="center"/>
          </w:tcPr>
          <w:p w14:paraId="7346A15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0.2％</w:t>
            </w:r>
          </w:p>
        </w:tc>
      </w:tr>
      <w:tr w14:paraId="42E05F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C3349E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10000——100000</w:t>
            </w:r>
          </w:p>
        </w:tc>
        <w:tc>
          <w:tcPr>
            <w:tcW w:w="1913" w:type="dxa"/>
            <w:noWrap w:val="0"/>
            <w:vAlign w:val="center"/>
          </w:tcPr>
          <w:p w14:paraId="19DE71B0">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599" w:type="dxa"/>
            <w:noWrap w:val="0"/>
            <w:vAlign w:val="center"/>
          </w:tcPr>
          <w:p w14:paraId="7A652DE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c>
          <w:tcPr>
            <w:tcW w:w="1258" w:type="dxa"/>
            <w:noWrap w:val="0"/>
            <w:vAlign w:val="center"/>
          </w:tcPr>
          <w:p w14:paraId="0381B8AC">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0.05％</w:t>
            </w:r>
          </w:p>
        </w:tc>
      </w:tr>
      <w:tr w14:paraId="5AB626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2A00C3A5">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1000000以上</w:t>
            </w:r>
          </w:p>
        </w:tc>
        <w:tc>
          <w:tcPr>
            <w:tcW w:w="1913" w:type="dxa"/>
            <w:noWrap w:val="0"/>
            <w:vAlign w:val="center"/>
          </w:tcPr>
          <w:p w14:paraId="57C974BF">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599" w:type="dxa"/>
            <w:noWrap w:val="0"/>
            <w:vAlign w:val="center"/>
          </w:tcPr>
          <w:p w14:paraId="2766A2A2">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c>
          <w:tcPr>
            <w:tcW w:w="1258" w:type="dxa"/>
            <w:noWrap w:val="0"/>
            <w:vAlign w:val="center"/>
          </w:tcPr>
          <w:p w14:paraId="46650ABA">
            <w:pPr>
              <w:keepNext w:val="0"/>
              <w:keepLines w:val="0"/>
              <w:widowControl/>
              <w:suppressLineNumbers w:val="0"/>
              <w:jc w:val="center"/>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18"/>
                <w:szCs w:val="18"/>
                <w:lang w:val="en-US" w:eastAsia="zh-CN" w:bidi="ar"/>
              </w:rPr>
              <w:t>0.01％</w:t>
            </w:r>
          </w:p>
        </w:tc>
      </w:tr>
    </w:tbl>
    <w:p w14:paraId="67470A12">
      <w:pPr>
        <w:pStyle w:val="7"/>
        <w:keepNext w:val="0"/>
        <w:keepLines w:val="0"/>
        <w:widowControl/>
        <w:suppressLineNumbers w:val="0"/>
        <w:spacing w:before="100" w:beforeAutospacing="1" w:after="100" w:afterAutospacing="1" w:line="240" w:lineRule="auto"/>
        <w:ind w:left="0" w:right="0" w:firstLine="0"/>
        <w:jc w:val="left"/>
        <w:rPr>
          <w:rFonts w:hint="eastAsia" w:ascii="宋体" w:hAnsi="宋体" w:eastAsia="宋体" w:cs="宋体"/>
          <w:b/>
          <w:bCs/>
          <w:sz w:val="21"/>
          <w:szCs w:val="20"/>
        </w:rPr>
      </w:pPr>
      <w:r>
        <w:rPr>
          <w:rFonts w:hint="eastAsia" w:ascii="宋体" w:hAnsi="宋体" w:eastAsia="宋体" w:cs="宋体"/>
          <w:b/>
          <w:bCs/>
          <w:i w:val="0"/>
          <w:iCs w:val="0"/>
          <w:caps w:val="0"/>
          <w:color w:val="000000"/>
          <w:spacing w:val="0"/>
          <w:sz w:val="20"/>
          <w:szCs w:val="20"/>
        </w:rPr>
        <w:t>注：招标代理服务收费按差额定率累进法计算。</w:t>
      </w:r>
    </w:p>
    <w:p w14:paraId="19FAC566">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1091CAC"/>
    <w:rsid w:val="04682D7F"/>
    <w:rsid w:val="05391496"/>
    <w:rsid w:val="088B17BE"/>
    <w:rsid w:val="0B5E67A7"/>
    <w:rsid w:val="0C1112DA"/>
    <w:rsid w:val="0D1C64A4"/>
    <w:rsid w:val="0F794DA3"/>
    <w:rsid w:val="12612C4C"/>
    <w:rsid w:val="13071E76"/>
    <w:rsid w:val="13464CB3"/>
    <w:rsid w:val="184D62AD"/>
    <w:rsid w:val="19E7562B"/>
    <w:rsid w:val="1AE75032"/>
    <w:rsid w:val="1DAA65B4"/>
    <w:rsid w:val="20D05BC1"/>
    <w:rsid w:val="26E87411"/>
    <w:rsid w:val="275D7948"/>
    <w:rsid w:val="2CF96683"/>
    <w:rsid w:val="2F056C89"/>
    <w:rsid w:val="35BA4688"/>
    <w:rsid w:val="384252CC"/>
    <w:rsid w:val="3A2B31DF"/>
    <w:rsid w:val="3C0074ED"/>
    <w:rsid w:val="3C3A2C7D"/>
    <w:rsid w:val="3CDD6DE7"/>
    <w:rsid w:val="4101503F"/>
    <w:rsid w:val="41A34FCF"/>
    <w:rsid w:val="421E48E4"/>
    <w:rsid w:val="424446C4"/>
    <w:rsid w:val="432F2FAC"/>
    <w:rsid w:val="47550554"/>
    <w:rsid w:val="47B07CA9"/>
    <w:rsid w:val="481B2F90"/>
    <w:rsid w:val="564D51F0"/>
    <w:rsid w:val="59BA217A"/>
    <w:rsid w:val="5FC33E54"/>
    <w:rsid w:val="65E801CD"/>
    <w:rsid w:val="66105C72"/>
    <w:rsid w:val="6B147CCA"/>
    <w:rsid w:val="6B6B17E9"/>
    <w:rsid w:val="6F6072F0"/>
    <w:rsid w:val="702C4DB1"/>
    <w:rsid w:val="716718BB"/>
    <w:rsid w:val="716A4115"/>
    <w:rsid w:val="716D7263"/>
    <w:rsid w:val="71D451F0"/>
    <w:rsid w:val="74911426"/>
    <w:rsid w:val="77BF3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10">
    <w:name w:val="Default Paragraph Font"/>
    <w:autoRedefine/>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List 2"/>
    <w:basedOn w:val="1"/>
    <w:unhideWhenUsed/>
    <w:qFormat/>
    <w:uiPriority w:val="99"/>
    <w:pPr>
      <w:ind w:left="100" w:leftChars="200" w:hanging="200" w:hangingChars="200"/>
      <w:contextualSpacing/>
    </w:p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firstLine="420" w:firstLineChars="200"/>
    </w:pPr>
  </w:style>
  <w:style w:type="character" w:customStyle="1" w:styleId="12">
    <w:name w:val="页眉 Char"/>
    <w:basedOn w:val="10"/>
    <w:link w:val="6"/>
    <w:autoRedefine/>
    <w:qFormat/>
    <w:uiPriority w:val="99"/>
    <w:rPr>
      <w:sz w:val="18"/>
      <w:szCs w:val="18"/>
    </w:rPr>
  </w:style>
  <w:style w:type="character" w:customStyle="1" w:styleId="13">
    <w:name w:val="页脚 Char"/>
    <w:basedOn w:val="10"/>
    <w:link w:val="5"/>
    <w:autoRedefine/>
    <w:qFormat/>
    <w:uiPriority w:val="99"/>
    <w:rPr>
      <w:sz w:val="18"/>
      <w:szCs w:val="18"/>
    </w:rPr>
  </w:style>
  <w:style w:type="paragraph" w:styleId="14">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6">
    <w:name w:val="首行缩进"/>
    <w:basedOn w:val="1"/>
    <w:autoRedefine/>
    <w:qFormat/>
    <w:uiPriority w:val="0"/>
    <w:pPr>
      <w:ind w:firstLine="480" w:firstLineChars="200"/>
    </w:pPr>
    <w:rPr>
      <w:lang w:val="zh-CN"/>
    </w:rPr>
  </w:style>
  <w:style w:type="character" w:customStyle="1" w:styleId="17">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1676</Words>
  <Characters>1870</Characters>
  <Lines>88</Lines>
  <Paragraphs>48</Paragraphs>
  <TotalTime>4</TotalTime>
  <ScaleCrop>false</ScaleCrop>
  <LinksUpToDate>false</LinksUpToDate>
  <CharactersWithSpaces>2510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黄昏的山上飘落飘落的红叶</cp:lastModifiedBy>
  <cp:lastPrinted>2025-05-30T00:00:00Z</cp:lastPrinted>
  <dcterms:modified xsi:type="dcterms:W3CDTF">2026-08-12T08:55:05Z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C53302FC880540648A14AE121C3495AA_13</vt:lpwstr>
  </property>
  <property fmtid="{D5CDD505-2E9C-101B-9397-08002B2CF9AE}" pid="4" name="KSOTemplateDocerSaveRecord">
    <vt:lpwstr>eyJoZGlkIjoiM2MzYzFjOTRlYjI1MTNkNGEzMTNkMjgwZjY5MDM0MmUiLCJ1c2VySWQiOiIxOTc4NzQzNDQifQ==</vt:lpwstr>
  </property>
</Properties>
</file>